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85" w:rsidRDefault="00BE2385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C7BAB" w:rsidRPr="00CB4668" w:rsidRDefault="00AC7BAB" w:rsidP="00AC7BAB">
      <w:pPr>
        <w:widowControl w:val="0"/>
        <w:tabs>
          <w:tab w:val="left" w:pos="860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B4668">
        <w:rPr>
          <w:rFonts w:ascii="Times New Roman" w:eastAsia="Times New Roman" w:hAnsi="Times New Roman" w:cs="Times New Roman"/>
          <w:i/>
          <w:lang w:eastAsia="ru-RU"/>
        </w:rPr>
        <w:t>Приложение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bookmarkStart w:id="0" w:name="_GoBack"/>
      <w:bookmarkEnd w:id="0"/>
    </w:p>
    <w:p w:rsidR="00AC7BAB" w:rsidRPr="00CB4668" w:rsidRDefault="00AC7BAB" w:rsidP="00AC7B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668">
        <w:rPr>
          <w:rFonts w:ascii="Times New Roman" w:eastAsia="Times New Roman" w:hAnsi="Times New Roman" w:cs="Times New Roman"/>
          <w:i/>
          <w:lang w:eastAsia="ru-RU"/>
        </w:rPr>
        <w:t>к  пи</w:t>
      </w:r>
      <w:r w:rsidR="006D7E9F">
        <w:rPr>
          <w:rFonts w:ascii="Times New Roman" w:eastAsia="Times New Roman" w:hAnsi="Times New Roman" w:cs="Times New Roman"/>
          <w:i/>
          <w:lang w:eastAsia="ru-RU"/>
        </w:rPr>
        <w:t>сьму от «___»_______________2022</w:t>
      </w:r>
      <w:r w:rsidRPr="00CB4668">
        <w:rPr>
          <w:rFonts w:ascii="Times New Roman" w:eastAsia="Times New Roman" w:hAnsi="Times New Roman" w:cs="Times New Roman"/>
          <w:i/>
          <w:lang w:eastAsia="ru-RU"/>
        </w:rPr>
        <w:t>г. № _____</w:t>
      </w:r>
    </w:p>
    <w:p w:rsidR="00AC7BAB" w:rsidRPr="00AC7BAB" w:rsidRDefault="00AC7BAB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BE2385" w:rsidRDefault="00BE2385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BE2385" w:rsidRPr="0042704C" w:rsidRDefault="00BE2385" w:rsidP="00BE2385">
      <w:pPr>
        <w:spacing w:after="0" w:line="240" w:lineRule="auto"/>
        <w:ind w:left="-709" w:right="-284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270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Анализ</w:t>
      </w:r>
    </w:p>
    <w:p w:rsidR="00BE2385" w:rsidRPr="0042704C" w:rsidRDefault="00BE2385" w:rsidP="00BE2385">
      <w:pPr>
        <w:spacing w:after="0" w:line="240" w:lineRule="auto"/>
        <w:ind w:left="-709" w:right="-284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270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состояния детского дорожно-транспортного травматизма</w:t>
      </w:r>
    </w:p>
    <w:p w:rsidR="00BE2385" w:rsidRPr="0042704C" w:rsidRDefault="00BE2385" w:rsidP="00BE2385">
      <w:pPr>
        <w:spacing w:after="0" w:line="240" w:lineRule="auto"/>
        <w:ind w:left="-709" w:right="-284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4270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на территории </w:t>
      </w:r>
      <w:r w:rsidRPr="0042704C">
        <w:rPr>
          <w:rFonts w:ascii="Liberation Serif" w:eastAsia="Calibri" w:hAnsi="Liberation Serif" w:cs="Liberation Serif"/>
          <w:b/>
          <w:sz w:val="28"/>
          <w:szCs w:val="28"/>
        </w:rPr>
        <w:t>обслуживаемой ОГИБДД МО МВД России «Заречный»</w:t>
      </w:r>
      <w:r w:rsidRPr="0042704C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BE2385" w:rsidRPr="0042704C" w:rsidRDefault="00B27042" w:rsidP="00BE2385">
      <w:pPr>
        <w:spacing w:after="0" w:line="240" w:lineRule="auto"/>
        <w:ind w:left="-709" w:right="-284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270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 девять месяцев</w:t>
      </w:r>
      <w:r w:rsidR="00BE2385" w:rsidRPr="004270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2022 года</w:t>
      </w:r>
    </w:p>
    <w:p w:rsidR="00AC7BAB" w:rsidRPr="00AC7BAB" w:rsidRDefault="00AC7BAB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C7BA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</w:p>
    <w:p w:rsidR="00B27042" w:rsidRPr="0042704C" w:rsidRDefault="00B27042" w:rsidP="0042704C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381" distL="114300" distR="114300" simplePos="0" relativeHeight="251660288" behindDoc="1" locked="0" layoutInCell="1" allowOverlap="1">
            <wp:simplePos x="0" y="0"/>
            <wp:positionH relativeFrom="margin">
              <wp:posOffset>-654050</wp:posOffset>
            </wp:positionH>
            <wp:positionV relativeFrom="paragraph">
              <wp:posOffset>215900</wp:posOffset>
            </wp:positionV>
            <wp:extent cx="2816225" cy="3139440"/>
            <wp:effectExtent l="3175" t="6350" r="0" b="0"/>
            <wp:wrapTight wrapText="bothSides">
              <wp:wrapPolygon edited="0">
                <wp:start x="0" y="0"/>
                <wp:lineTo x="0" y="21534"/>
                <wp:lineTo x="21454" y="21534"/>
                <wp:lineTo x="21454" y="0"/>
                <wp:lineTo x="0" y="0"/>
              </wp:wrapPolygon>
            </wp:wrapTight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2704C" w:rsidRPr="0042704C" w:rsidRDefault="0042704C" w:rsidP="0042704C">
      <w:pPr>
        <w:pStyle w:val="a9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704C">
        <w:rPr>
          <w:rFonts w:ascii="Liberation Serif" w:hAnsi="Liberation Serif" w:cs="Liberation Serif"/>
          <w:sz w:val="28"/>
          <w:szCs w:val="28"/>
        </w:rPr>
        <w:t xml:space="preserve">За 9 месяцев 2022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8 ДТП(АППГ – 13). </w:t>
      </w:r>
    </w:p>
    <w:p w:rsidR="0042704C" w:rsidRPr="0042704C" w:rsidRDefault="0042704C" w:rsidP="0042704C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704C">
        <w:rPr>
          <w:rFonts w:ascii="Liberation Serif" w:eastAsia="Calibri" w:hAnsi="Liberation Serif" w:cs="Liberation Serif"/>
          <w:sz w:val="28"/>
          <w:szCs w:val="28"/>
        </w:rPr>
        <w:t>На территории Белоярского городского округа за 9 месяцев 2022 года с участием детей до 16 лет зарегистрировано 10 ДТП (АППГ – 6)пострадали 3 ребенка пассажира, один ребе</w:t>
      </w:r>
      <w:r>
        <w:rPr>
          <w:rFonts w:ascii="Liberation Serif" w:eastAsia="Calibri" w:hAnsi="Liberation Serif" w:cs="Liberation Serif"/>
          <w:sz w:val="28"/>
          <w:szCs w:val="28"/>
        </w:rPr>
        <w:t>нок пешеход и два ребенка велосипе</w:t>
      </w:r>
      <w:r w:rsidRPr="0042704C">
        <w:rPr>
          <w:rFonts w:ascii="Liberation Serif" w:eastAsia="Calibri" w:hAnsi="Liberation Serif" w:cs="Liberation Serif"/>
          <w:sz w:val="28"/>
          <w:szCs w:val="28"/>
        </w:rPr>
        <w:t>диста.</w:t>
      </w:r>
    </w:p>
    <w:p w:rsidR="0042704C" w:rsidRDefault="0042704C" w:rsidP="0042704C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704C">
        <w:rPr>
          <w:rFonts w:ascii="Liberation Serif" w:eastAsia="Calibri" w:hAnsi="Liberation Serif" w:cs="Liberation Serif"/>
          <w:sz w:val="28"/>
          <w:szCs w:val="28"/>
        </w:rPr>
        <w:t xml:space="preserve"> На территории городского округа Заречный за 9 месяцев 2022 года с участием детей до 16 лет не зарегистрировано (АППГ – 7). </w:t>
      </w:r>
    </w:p>
    <w:p w:rsidR="0042704C" w:rsidRDefault="0042704C" w:rsidP="0042704C">
      <w:pPr>
        <w:spacing w:after="0" w:line="240" w:lineRule="auto"/>
        <w:ind w:left="-709" w:firstLine="141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704C">
        <w:rPr>
          <w:rFonts w:ascii="Liberation Serif" w:eastAsia="Calibri" w:hAnsi="Liberation Serif" w:cs="Liberation Serif"/>
          <w:sz w:val="28"/>
          <w:szCs w:val="28"/>
        </w:rPr>
        <w:t xml:space="preserve">На территории городского округа Верхнее Дуброво за 9 месяцев 2022 года ДТП не  зарегистрировано (АППГ - 0). </w:t>
      </w:r>
    </w:p>
    <w:p w:rsidR="0042704C" w:rsidRPr="0042704C" w:rsidRDefault="0042704C" w:rsidP="0042704C">
      <w:pPr>
        <w:spacing w:after="0" w:line="240" w:lineRule="auto"/>
        <w:ind w:left="-709" w:firstLine="141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27042" w:rsidRPr="00B27042" w:rsidRDefault="00B27042" w:rsidP="00B2704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Свердловской области </w:t>
      </w:r>
      <w:r w:rsidRPr="004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девять месяцев 2022 г.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241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(265; -9%) ДТП с участием несовершеннолетних, в которых 271 (281; -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3,6%) ребенок получил травмы различной степени тяжести и 12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(18; -33,3%) погибли.</w:t>
      </w:r>
    </w:p>
    <w:p w:rsidR="00B27042" w:rsidRPr="00B27042" w:rsidRDefault="00B27042" w:rsidP="00B2704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B27042" w:rsidRPr="00B27042" w:rsidRDefault="00B27042" w:rsidP="00B2704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ДТП с погибшими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 в Каменске-Уральском, Серове (уровень АППГ) и Сысерти (+100%), по 1 ДТП в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 Тагиле, Верхотурье,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Ревде, Талице, Шале(+100%) и Екатеринбурге (-66,7%):</w:t>
      </w:r>
    </w:p>
    <w:p w:rsidR="00B27042" w:rsidRPr="00B27042" w:rsidRDefault="00B27042" w:rsidP="00B27042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7 января около 10 часов на 5 км соединительных автодорог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Екатеринбург-Нижний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Тагил-Серов» 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Серов-Североуральск-Ивдель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(зона обслуживания ОГИБДД МО МВД России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Серовский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</w:t>
      </w:r>
      <w:r w:rsidRPr="00B27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Ниссан</w:t>
      </w:r>
      <w:proofErr w:type="spellEnd"/>
      <w:r w:rsidRPr="00B27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 при совершении обгона в условиях плохой видимости (снегопад), не убедился в безопасности маневра и допустил столкновение</w:t>
      </w:r>
      <w:r w:rsidR="004270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«Ниссан», отец мальчика, скончался в больнице. Пассажир автомобиля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«Лексус» и два пассажира «Ниссан» с травмами различной степени тяжести госпитализированы. Установлено, что водитель автомобиля «Ниссан» вместе с женой, сыном и знакомой направлялся из Североуральска в Екатеринбург, в момент ДТП все были пристегнуты ремнями безопасности.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 совершении обгона водитель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придал особого значения сложной дорожной ситуации и снежному вихрю, образовавшемуся впереди из-за грузового автомобиля и выехал на встречную полосу.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28 января</w:t>
      </w:r>
      <w:r w:rsidR="004270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7 часов 30 минут на 315 км автодороги «Пермь-Екатеринбург» (зона обслуживания ОГИБДД МО МВД России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Ревдинский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»),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Шевроле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», при ухудшении самочувствия не принял меры к торможению, совершил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автомобиля, 31-летняя женщина и трое ее детей: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мальчики 1 месяц и 9 лет, девочка 5 лет госпитализированы. Впоследствии младенец скончался в больнице. В момент ДТП мать и трое детей находились на заднем пассажирском сиденье: женщина посередине с младенцем на руках, слева девочка 5-ти лет в детском удерживающем устройстве -бустер и справа ее 9-летний брат, все они не были пристегнуты ремнями безопасности. Несовершеннолетние перевозились с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нарушением правил перевозки детей.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Водитель легкового автомобиля подрабатывал в такси, в этот день повез женщину с детьми из Красноуфимска в Челябинскую область. 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15 февраля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18 часов 30 минут на 93 километре федеральной автодороги «Екатеринбург–Шадринск-Курган» (зона обслуживания ОГИБДД МО МВД России «Каменск-Уральский»),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Лифан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Х60», двигаясь со стороны Курганской области в сторону Екатеринбурга,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на месте происшествия погибла 10-летняя девочка, пассажир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Лифан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». Ее сестра ровесница-близнец, а также мать - водитель автомашины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Лифан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 штатными ремнями безопасности. Удар пришел на сторону, где находилась погибшая, в результате чего ремень безопасности повредился, и девочка вылетела из автомобиля.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22 марта около 08 часов 30 минут на 6 км автодороги «Талица-Тугулым» (зона обслуживания ОГИБДД ОМВД России по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Талицкому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району), нетрезвый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Рено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Сандеро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Фокус».  В результате ДТП на месте происшествия погибли водитель и месячный ребенок-пассажир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Рено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Сандеро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». Установлено, что автомобилем управляла мать ребенка.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сильным ударом в сторону, где находился ребенок, детское кресло вылетело из салона транспортного средства.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25 марта около 17 часов 30 минут в Екатеринбурге водитель автомобиля «БМВ», двигаясь по правой полосе ул. 2-я Новосибирская,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 за пределы проезжей части на остановку общественного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транспорта, где совершил наезд на несовершеннолетнего пешехода. В результате ДТП 11-летняя девочка-пешеход погибла на месте происшествия до прибытия бригады скорой медицинской помощи. Во время каникул девочка посещала секцию дополнительно образования в школе и после занятий возвращалась домой.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Дэу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Нексия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прицепом, после чего произошло возгорание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Дэу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Нексия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». Несовершеннолетний водитель получил травмы, несовместимые с жизнью, скончался на месте происшествия до прибытия бригады скорой медицинской помощи. Известно, что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ключи от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Дэу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Нексия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21 мая около 16 часов 00 минут на 180 км автодороги «Подъезд к Екатеринбургу от автодороги М-5 Урал» (зона обслуживания ОГИБДД МО МВД России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Сысертский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»),водитель автомобиля «Мерседес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Бенц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Водитель и пассажиры вылетели из транспортного средства, так как не были пристегнуты ремнями безопасности.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В результате ДТП водитель автомобиля и 5-летний мальчик-пассажир получили тяжелые травмы и госпитализированы, 11-летняя девочка-пассажир скончалась на месте происшествия до прибытия бригады скорой медицинской помощи. 5-летний ребенок перевозился в салоне автомобиля без детского удерживающего устройства, не пристегнутый ремнем безопасности. Установлено, что водитель автомобиля «Мерседес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Бенц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вместе со своими детьми возвращался домой в Екатеринбург.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Киа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Рио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», при выезде с прилегающей территории от коллективных садов и поворачивая налево, не предоставила преимущество в движении автомобилю «Форд Фокус» и допустила с ним столкновение. В результате ДТП оба водителя и несовершеннолетний пассажир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Киа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Рио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29 июня около 16 часов 30 минут в Серове на проспекте Седова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Дэу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Нексия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 испугался ответственности и скрылся с места происшествия.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течении пяти часов водитель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разыскан сотрудниками полиции. В результате ДТП ребенок-пешеход скончался на месте аварии. Известно, что мальчик вместе с родителями приехал в гости к бабушке. Его отпустили погулять.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7 июля около 16 часов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в районе 3 км со стороны подъезда к Большому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Сидельниково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к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Сулимовскому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торфянику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Сысертского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района,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Киа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Рио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» при проезде нерегулируемого перекрестка неравнозначных дорог не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lastRenderedPageBreak/>
        <w:t>уступил дорогу автомобилю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Скания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26 июля около 13 часов на 17-м км автодороги «с.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Прокопьевская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Новолялинский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результате аварии погибли водитель и 12-летняя пассажирка автомобиля ВАЗ, ещё одна 14-летняя пассажирка легкового автомобиля с тяжелыми травмами доставлена в лечебное учреждение.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 в этот день у бабушки, без ее разрешения взял ключи от автомобиля и поехал кататься.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16 сентября около 15 часов в поселке Староуткинск (территория обслуживания МО МВД России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Шалинский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 и из-за жилого строения, ограничивающего обзор. В результате ДТП мальчик погиб на месте. Известно, что ребенок вместе с другом катался по поселку на велосипедах без контроля со стороны взрослых.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Второй велосипедист успел пересечь дорогу до аварии.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 районах и муниципальных образованиях Свердловской области отмечается рост аварийности с участием несовершеннолетних. На 500% увеличилось количество ДТП в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Сысертском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(12 ДТП);на 300% в Артемовском районе (4 ДТП); на 200% в Невьянском и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Талицком</w:t>
      </w:r>
      <w:proofErr w:type="spellEnd"/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 (по 3 ДТП); на 100% в Алапаевском и Полевском (по 4 ДТП),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Новолялинском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(по 2 ДТП) 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Асбесте (1 ДТП); на 50% в Кушве и Нижних Сергах (по 3 ДТП); на 33,3% в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Верхнепышминском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(4 ДТП), на 14,3% в Каменске-Уральском (16 ДТП) и на 9% в Нижнем Тагиле (24 ДТП).</w:t>
      </w:r>
    </w:p>
    <w:p w:rsidR="00B27042" w:rsidRPr="00B27042" w:rsidRDefault="00B27042" w:rsidP="00B2704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486525" cy="430530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47% (135) пострадавших и погибших в ДТП детей приходится на среднее школьное звено,32% (92) на начальную школу и 21% (56) на дошкольный возраст, при этом большая часть пострадали и погибли в качестве пассажиров транспортных средств.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48000" cy="22574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38475" cy="22574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причине нарушения ПДД РФ водителями автотранспортных средств количество ДТП с участием детей уменьшилось на 13% (173), раненых на 7% (202), погибших на14,3%(12).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286500" cy="166687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70% (162)ДТП произошли при ясной погоде и 30% (79)при неблагоприятных метеорологических условиях (пасмурно, снегопад, метель, дождь).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38875" cy="183832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56% (98) происшествий с участием несовершеннолетних произошли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 с 15 до 19 ч. (93 ДТП, 6 погибли, 104 ранены), с 11 до 13 ч. (24 ДТП, 1 погиб, 27 ранены) и с 07 до 08 ч. (10 ДТП, 1 погиб, 13 ранены),такая тенденция связана с активным пребыванием детей в это время на улице и интенсивностью транспорта. При этом пик ДТП приходит на период с 18 до 19 ч. (29 ДТП, 1 погиб, 32 ранены). На 300% произошел рост количества ДТП в период с 22 до 00 часов (13).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15050" cy="20288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143625" cy="19240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191 ДТП (-14%), в которых пострадали 208 (-10%) детей и 3 погибли (-66,7%). При этом увеличение количества ДТП произошло на 700% в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Сысертском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(8 ДТП), на 100% в Алапаевске 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Невьянске (по 3 ДТП),Артемовском,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Красноуфимском районах (по 2 ДТП), Асбесте,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Гаринском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(Серов), Нижней Салде и Тавде(по 1 ДТП), н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а50% в Кировграде и Полевском (по 3 ДТП), н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33,3% в Белоярском районе (4 ДТП). На автомобильных дорогах вне населенных пунктов зарегистрировано 50 ДТП (+16,3%), травмированы63 (+26%) ребенка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9 погибли (уровень АППГ). Из них зарегистрировано 19 ДТП(+35,7%)на дорогах федерального значения, в которых пострадали25детей (+30%) и 3 погибли (+50%). На автомобильных дорогах регионального значения произошло 43 ДТП (+5%), в которых 54 (+32%) ребенка получили травмы различной степени тяжести и 5несовершеннолетнихпогибли (-44,4%). На дорогах местного значения зарегистрировано 154 ДТП (-15%), в которых травмированы167 (-12,6%) детей и 4погибли (-43%).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62700" cy="20955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90170</wp:posOffset>
            </wp:positionV>
            <wp:extent cx="1864360" cy="1838960"/>
            <wp:effectExtent l="0" t="0" r="2540" b="8890"/>
            <wp:wrapSquare wrapText="bothSides"/>
            <wp:docPr id="15" name="Рисунок 15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7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С участием </w:t>
      </w:r>
      <w:r w:rsidRPr="00B2704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детей - пассажиров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110 (115; -1,8%) ДТП, в которых пострадали136 (134; +3,8%) детей и8(11; -27,3%) погибли. Из них в возрасте до 12 лет травмированы83ребенка (-15,3%) и 7 погибли (-30%).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ДТП с участием детей - пассажиров составила 46% от общего показателя аварийности с участием детей.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 60случаях (+17%)ДТП с пострадавшими детьми-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пассажирами произошли по причине нарушения ПДД РФ водителем, в автомобиле которого находились дети, в этих авариях пострадали 69детей (+20%) и 8погибли (уровень АППГ).</w:t>
      </w:r>
    </w:p>
    <w:p w:rsidR="00B27042" w:rsidRPr="00B27042" w:rsidRDefault="00B27042" w:rsidP="00B27042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33850" cy="13906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23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(17;+58,8%) и 5 погибли (+25%). Четыре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перевозились на руках, шестеро - в детских удерживающих устройствах, не закрепленных к конструкции автомобиля ремнями безопасности, три ребенка перевозились в устройствах, не соответствующих росту и весу ребенка, еще девять - без детского удерживающего устройства 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десятьюных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пристегнуты ремнем безопасности. При этом, в 10 случаях нарушения перевозки детей допустили отцы несовершеннолетних.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Подавляющее большинство происшествий, в которых пострадали дети-пассажиры - это столкновения транспортных средств (92; -5,2%), количество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травмированных в них детей уменьшилось на 2% (112), погибших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27,3% (8).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рост количества ДТП с участием детей-пассажиров зарегистрирован с 7 до 8 часов (6 ДТП, 8 ранены и 1 погиб), с 15 до 19 часов (36 ДТП, 47 ранены, 4 погибли) и с 20 до 00 часов (22 ДТП, 30 ранены). На 28% увеличилось количество аварий в четверг (18 ДТП, 23 ранены, 2 погибли), на 25%в понедельник (16 ДТП, 23 ранены) и на 9% во вторник (13 ДТП, 13 ранены, 3 погибли). При этом максимальное количество ДТП с участием детей зарегистрировано в воскресенье (18 ДТП, -19%;23 ранены, -8%).Еще 2ДТП с погибшими детьми-пассажирами произошло в пятницу и 1 в субботу.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14" name="Рисунок 1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B2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детей-пешеходов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89 ДТП (126; -27%), в которых пострадал 91 (125; -24,2%) ребенок и 2 погибли (6; -66,7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 Доля ДТП с участием детей- пешеходов составила 37% от общего показателя аварийности с участием несовершеннолетних.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7% (53) уменьшилось количество ДТП по собственной неосторожности несовершеннолетних пешеходов, в них пострадали 52ребенка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(-5,5%) и 1 погиб (-66,7%).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третий наезд на ребенка (31 ДТП) совершен на пешеходном переходе. В таких происшествиях травмированы 32 юных пешехода (-33,3%).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происшествий с детьми-пешеходами в темное время суток уменьшилось на 15,4%(11 ДТП). Одним из сопутствующих факторов таких ДТП стало отсутствие на верхней одежде или рюкзаке ребенка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каждого второго происшествия (48; 54%) стали дети-пешеходы в возрасте 10-15 лет, в этих авариях травмированы48детей и 1 погиб. На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233 % (11 ДТП, 11 ранены) увеличилось количество ДТП с участием детей в возрасте 4-6 лет. Все наезды произошли в городах и населенных пунктах. На18%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увеличилось количество ДТП с участием детей-пешеходов в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(20 ДТП, 20 ранены и 1 погиб). Помимо этого, 17 ДТП с юными пешеходами зарегистрированы в четверг, в этих авариях пострадали 17 детей и по 14 ДТП произошло во вторник и пятницу, в этих авариях травмированы29 детей. Наименьшее количество аварий с участием детей-пешеходов зафиксировано в субботу: 3 ДТП (-83.3%), 3 ранены (-81,8%).  По времени совершения самым опасным является временной промежуток с 15 до 22 часов, в это время произошло 70% происшествий (59 ДТП, 61 ранены, 2 погибли) с участием детей-пешеходов, при этом максимальные значения зафиксированы в период с 16 до 19часов (38 ДТП, 37 ранены, 2 погибли). На 300% увеличилось количество ДТП с 11 до 12 часов (10 ДТП, 10 ранены) 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40% с 13 до 14 часов (8 ДТП, 8 ранены).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23 случаях ДТП (25%) произошли на маршрутах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юных водителей автотранспорта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 ДТП (+100%), в результате которого погиб 1 ребенок (+100%) по собственной неосторожности. Авария зарегистрирована в Нижнем Тагиле.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юных водителей </w:t>
      </w:r>
      <w:proofErr w:type="spellStart"/>
      <w:r w:rsidRPr="00B2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велотранспорта</w:t>
      </w:r>
      <w:proofErr w:type="spellEnd"/>
      <w:r w:rsidR="00427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зарегистрировано 32 ДТП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(27; +14,3%), в результате которых пострадал 31ребенок (27; +10,7%) и 1 погиб (+100%).Во всех случаях ДТП дети не использовали средства пассивной защиты (шлем, налокотники, наколенники). 23 происшествия произошли по собственной неосторожности несовершеннолетних.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каждого второго ДТП (21) стали дети-велосипедисты в возрасте 10-15 лет, при этом максимальное количество ДТП зафиксированы с детьми-велосипедистами 12-13 лет (7 ДТП, 7 ранены), 10-11 и 13-14 лет (по 4 ДТП, 4 ранены).  На 100% (5) отмечается рост количества ДТП с участием юных велосипедистов в возрасте 4-6 лет.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13" name="Рисунок 13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</w:t>
      </w:r>
      <w:r w:rsidRPr="00B270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юных водителей мототранспорта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 10 ДТП (3; +233,3%), в результате которых пострадали 10несовершеннолетних (2; +400%).Во всех случаях права управления мототранспортом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имели.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1905" distL="114300" distR="114300" simplePos="0" relativeHeight="25166233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-6350</wp:posOffset>
            </wp:positionV>
            <wp:extent cx="5821680" cy="2901950"/>
            <wp:effectExtent l="0" t="3175" r="2540" b="0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 несовершеннолетних усматривается в 84 ДТП из 241 и составляет 35% от общего количества дорожных аварий с участием детей: в Екатеринбурге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42 ДТП (+13,5%), в Нижнем Тагиле 5 ДТП (+66,7%), в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Сысерстком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4 ДТП (+300%),Серов 3 ДТП (+200%), Каменск-Уральский 3 ДТП (+50%), Заречный 3 ДТП (уровень АППГ),по 2 ДТП в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Алапаевском, Артемовском,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Верхнесалдинскомрайонах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Невьянске, Полевском, Красноуфимске(+100%),по 1 ДТП в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Верхнепышминском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Асбесте,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Кировграде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Кушве, Лесном(+100%) и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Талице (уровень АППГ). В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Березовском 2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ДТП (-33,3%), Первоуральске 1 ДТП (-50%),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1 ДТП (-66,7%), Краснотурьинском районе 1 ДТП (-75%). 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 (17), переход проезжей части в неустановленном месте, в зоне видимости пешеходного перехода, перекрестка (20), неподчинение сигналам регулирования (11); юными водителями автотранспорта и мототранспорта: выезд на встречную полосу (1), несоблюдение дистанции (1) и управление транспортным средством, не имея права управления (8); юными велосипедистами - несоблюдение очередности проезда (10), пересечение проезжей части по пешеходному переходу не спешившись (8), управление при движении по проезжей части лицом моложе 14 лет (7).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Аварийными образовательными организации, учащиеся/воспитанники которых погибли в результате ДТП, либо стали участниками двух и более ДТП по собственной неосторожности, зарегистрированы: МБОУ гимназия №5, МАОУ СОШ № 157 г. Екатеринбурга, СОШ №25 г. Каменск-Уральский, МАОУ СОШ №13 г. Серов, МКОУ «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Прокоп-Салдинская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Сысертского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МБОУ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Староуткинская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№13.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648450" cy="31623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</w:pPr>
    </w:p>
    <w:p w:rsidR="00A950A8" w:rsidRPr="00A950A8" w:rsidRDefault="00A950A8" w:rsidP="00A97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A950A8" w:rsidRPr="00A950A8" w:rsidSect="00397F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80" w:rsidRDefault="00507380" w:rsidP="00C16F7C">
      <w:pPr>
        <w:spacing w:after="0" w:line="240" w:lineRule="auto"/>
      </w:pPr>
      <w:r>
        <w:separator/>
      </w:r>
    </w:p>
  </w:endnote>
  <w:endnote w:type="continuationSeparator" w:id="0">
    <w:p w:rsidR="00507380" w:rsidRDefault="00507380" w:rsidP="00C1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80" w:rsidRDefault="00507380" w:rsidP="00C16F7C">
      <w:pPr>
        <w:spacing w:after="0" w:line="240" w:lineRule="auto"/>
      </w:pPr>
      <w:r>
        <w:separator/>
      </w:r>
    </w:p>
  </w:footnote>
  <w:footnote w:type="continuationSeparator" w:id="0">
    <w:p w:rsidR="00507380" w:rsidRDefault="00507380" w:rsidP="00C1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F3A18"/>
    <w:multiLevelType w:val="multilevel"/>
    <w:tmpl w:val="E3E4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8B5670"/>
    <w:multiLevelType w:val="hybridMultilevel"/>
    <w:tmpl w:val="B01A5238"/>
    <w:lvl w:ilvl="0" w:tplc="E4B0D4B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8"/>
  </w:num>
  <w:num w:numId="5">
    <w:abstractNumId w:val="20"/>
  </w:num>
  <w:num w:numId="6">
    <w:abstractNumId w:val="3"/>
  </w:num>
  <w:num w:numId="7">
    <w:abstractNumId w:val="23"/>
  </w:num>
  <w:num w:numId="8">
    <w:abstractNumId w:val="26"/>
  </w:num>
  <w:num w:numId="9">
    <w:abstractNumId w:val="15"/>
  </w:num>
  <w:num w:numId="10">
    <w:abstractNumId w:val="22"/>
  </w:num>
  <w:num w:numId="11">
    <w:abstractNumId w:val="11"/>
  </w:num>
  <w:num w:numId="12">
    <w:abstractNumId w:val="8"/>
  </w:num>
  <w:num w:numId="13">
    <w:abstractNumId w:val="13"/>
  </w:num>
  <w:num w:numId="14">
    <w:abstractNumId w:val="25"/>
  </w:num>
  <w:num w:numId="15">
    <w:abstractNumId w:val="14"/>
  </w:num>
  <w:num w:numId="16">
    <w:abstractNumId w:val="9"/>
  </w:num>
  <w:num w:numId="17">
    <w:abstractNumId w:val="4"/>
  </w:num>
  <w:num w:numId="18">
    <w:abstractNumId w:val="5"/>
  </w:num>
  <w:num w:numId="19">
    <w:abstractNumId w:val="7"/>
  </w:num>
  <w:num w:numId="20">
    <w:abstractNumId w:val="1"/>
  </w:num>
  <w:num w:numId="21">
    <w:abstractNumId w:val="17"/>
  </w:num>
  <w:num w:numId="22">
    <w:abstractNumId w:val="6"/>
  </w:num>
  <w:num w:numId="23">
    <w:abstractNumId w:val="19"/>
  </w:num>
  <w:num w:numId="24">
    <w:abstractNumId w:val="24"/>
  </w:num>
  <w:num w:numId="25">
    <w:abstractNumId w:val="0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99F"/>
    <w:rsid w:val="00005566"/>
    <w:rsid w:val="000113AA"/>
    <w:rsid w:val="00026922"/>
    <w:rsid w:val="00055D25"/>
    <w:rsid w:val="000569F5"/>
    <w:rsid w:val="00065B26"/>
    <w:rsid w:val="000739D6"/>
    <w:rsid w:val="001136F1"/>
    <w:rsid w:val="00114F5C"/>
    <w:rsid w:val="00125284"/>
    <w:rsid w:val="00134E3D"/>
    <w:rsid w:val="001400F1"/>
    <w:rsid w:val="00141B2E"/>
    <w:rsid w:val="00141D9C"/>
    <w:rsid w:val="00190E68"/>
    <w:rsid w:val="001B500A"/>
    <w:rsid w:val="001C1157"/>
    <w:rsid w:val="001C6CEF"/>
    <w:rsid w:val="00203A60"/>
    <w:rsid w:val="0022305E"/>
    <w:rsid w:val="00230057"/>
    <w:rsid w:val="00253A35"/>
    <w:rsid w:val="00261297"/>
    <w:rsid w:val="002617AB"/>
    <w:rsid w:val="00283079"/>
    <w:rsid w:val="00283B37"/>
    <w:rsid w:val="002864AC"/>
    <w:rsid w:val="002A7092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111BE"/>
    <w:rsid w:val="00314119"/>
    <w:rsid w:val="003536DC"/>
    <w:rsid w:val="00355DE9"/>
    <w:rsid w:val="00360000"/>
    <w:rsid w:val="00361730"/>
    <w:rsid w:val="00374816"/>
    <w:rsid w:val="0038224E"/>
    <w:rsid w:val="0039040B"/>
    <w:rsid w:val="00397FFB"/>
    <w:rsid w:val="003A6573"/>
    <w:rsid w:val="003A7254"/>
    <w:rsid w:val="003D0F93"/>
    <w:rsid w:val="003D1BBC"/>
    <w:rsid w:val="003F6E82"/>
    <w:rsid w:val="003F6FE7"/>
    <w:rsid w:val="003F7426"/>
    <w:rsid w:val="0041686A"/>
    <w:rsid w:val="00421CEB"/>
    <w:rsid w:val="0042704C"/>
    <w:rsid w:val="0043078B"/>
    <w:rsid w:val="00430FA4"/>
    <w:rsid w:val="00443E64"/>
    <w:rsid w:val="0046335A"/>
    <w:rsid w:val="00465E01"/>
    <w:rsid w:val="004952B0"/>
    <w:rsid w:val="004A2E6E"/>
    <w:rsid w:val="004A3700"/>
    <w:rsid w:val="004B2C08"/>
    <w:rsid w:val="004B6493"/>
    <w:rsid w:val="004F0BCD"/>
    <w:rsid w:val="00500F9B"/>
    <w:rsid w:val="00507380"/>
    <w:rsid w:val="00515433"/>
    <w:rsid w:val="00523616"/>
    <w:rsid w:val="00534A61"/>
    <w:rsid w:val="00540F9A"/>
    <w:rsid w:val="0054466B"/>
    <w:rsid w:val="0055107B"/>
    <w:rsid w:val="0055486E"/>
    <w:rsid w:val="00556874"/>
    <w:rsid w:val="00566245"/>
    <w:rsid w:val="00573496"/>
    <w:rsid w:val="005742BD"/>
    <w:rsid w:val="005755C6"/>
    <w:rsid w:val="0057566C"/>
    <w:rsid w:val="0059049C"/>
    <w:rsid w:val="005B3FFC"/>
    <w:rsid w:val="005F4FBF"/>
    <w:rsid w:val="00604AE3"/>
    <w:rsid w:val="0061318B"/>
    <w:rsid w:val="00655C08"/>
    <w:rsid w:val="006B084F"/>
    <w:rsid w:val="006C2F33"/>
    <w:rsid w:val="006D011B"/>
    <w:rsid w:val="006D7E9F"/>
    <w:rsid w:val="006E2E1F"/>
    <w:rsid w:val="006E318F"/>
    <w:rsid w:val="00714731"/>
    <w:rsid w:val="0072780A"/>
    <w:rsid w:val="00730838"/>
    <w:rsid w:val="00745209"/>
    <w:rsid w:val="0076584A"/>
    <w:rsid w:val="00797816"/>
    <w:rsid w:val="007A084A"/>
    <w:rsid w:val="007A7765"/>
    <w:rsid w:val="007C64C6"/>
    <w:rsid w:val="007C7B69"/>
    <w:rsid w:val="007D62A6"/>
    <w:rsid w:val="007E26EB"/>
    <w:rsid w:val="007F1456"/>
    <w:rsid w:val="007F2908"/>
    <w:rsid w:val="007F2BA9"/>
    <w:rsid w:val="00802FC0"/>
    <w:rsid w:val="00805BD8"/>
    <w:rsid w:val="00815642"/>
    <w:rsid w:val="008414B1"/>
    <w:rsid w:val="00841BB3"/>
    <w:rsid w:val="00851298"/>
    <w:rsid w:val="00851488"/>
    <w:rsid w:val="00871930"/>
    <w:rsid w:val="00872115"/>
    <w:rsid w:val="00896390"/>
    <w:rsid w:val="008A5870"/>
    <w:rsid w:val="008F28B6"/>
    <w:rsid w:val="00925EB1"/>
    <w:rsid w:val="009454E4"/>
    <w:rsid w:val="00954ECA"/>
    <w:rsid w:val="0096138E"/>
    <w:rsid w:val="00971EE6"/>
    <w:rsid w:val="00997F16"/>
    <w:rsid w:val="009B063C"/>
    <w:rsid w:val="009B2EF8"/>
    <w:rsid w:val="009C304E"/>
    <w:rsid w:val="009E1CD2"/>
    <w:rsid w:val="009E7CBB"/>
    <w:rsid w:val="009F0FE1"/>
    <w:rsid w:val="00A04C0E"/>
    <w:rsid w:val="00A133D3"/>
    <w:rsid w:val="00A22675"/>
    <w:rsid w:val="00A612FE"/>
    <w:rsid w:val="00A70D36"/>
    <w:rsid w:val="00A905F5"/>
    <w:rsid w:val="00A950A8"/>
    <w:rsid w:val="00A97071"/>
    <w:rsid w:val="00AC7BAB"/>
    <w:rsid w:val="00AE5284"/>
    <w:rsid w:val="00AE7328"/>
    <w:rsid w:val="00AF234D"/>
    <w:rsid w:val="00B04605"/>
    <w:rsid w:val="00B27042"/>
    <w:rsid w:val="00B40829"/>
    <w:rsid w:val="00B615A5"/>
    <w:rsid w:val="00BB38AC"/>
    <w:rsid w:val="00BD1D82"/>
    <w:rsid w:val="00BD7607"/>
    <w:rsid w:val="00BE2385"/>
    <w:rsid w:val="00C13773"/>
    <w:rsid w:val="00C16F7C"/>
    <w:rsid w:val="00C179E0"/>
    <w:rsid w:val="00C27CC8"/>
    <w:rsid w:val="00C67AED"/>
    <w:rsid w:val="00C76083"/>
    <w:rsid w:val="00C96F89"/>
    <w:rsid w:val="00CC5C3C"/>
    <w:rsid w:val="00D239ED"/>
    <w:rsid w:val="00D37C80"/>
    <w:rsid w:val="00D5563E"/>
    <w:rsid w:val="00D564C5"/>
    <w:rsid w:val="00D9181A"/>
    <w:rsid w:val="00DA6E40"/>
    <w:rsid w:val="00DC2D83"/>
    <w:rsid w:val="00DC4C1E"/>
    <w:rsid w:val="00DF11A9"/>
    <w:rsid w:val="00DF5D8C"/>
    <w:rsid w:val="00E1316A"/>
    <w:rsid w:val="00E323D4"/>
    <w:rsid w:val="00E35BF3"/>
    <w:rsid w:val="00E60A42"/>
    <w:rsid w:val="00E67C4D"/>
    <w:rsid w:val="00E75D91"/>
    <w:rsid w:val="00E853B3"/>
    <w:rsid w:val="00E90615"/>
    <w:rsid w:val="00EA0C6A"/>
    <w:rsid w:val="00EA499F"/>
    <w:rsid w:val="00EB0D5C"/>
    <w:rsid w:val="00EC0F4A"/>
    <w:rsid w:val="00EC1E84"/>
    <w:rsid w:val="00ED3121"/>
    <w:rsid w:val="00EE3B4F"/>
    <w:rsid w:val="00EE43BC"/>
    <w:rsid w:val="00EF0E8D"/>
    <w:rsid w:val="00EF2D8B"/>
    <w:rsid w:val="00EF31F3"/>
    <w:rsid w:val="00F04F26"/>
    <w:rsid w:val="00F1311C"/>
    <w:rsid w:val="00F31917"/>
    <w:rsid w:val="00FA7BDE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character" w:styleId="ab">
    <w:name w:val="footnote reference"/>
    <w:semiHidden/>
    <w:rsid w:val="00C16F7C"/>
    <w:rPr>
      <w:vertAlign w:val="superscript"/>
    </w:rPr>
  </w:style>
  <w:style w:type="paragraph" w:styleId="ac">
    <w:name w:val="footnote text"/>
    <w:basedOn w:val="a"/>
    <w:link w:val="ad"/>
    <w:semiHidden/>
    <w:rsid w:val="00C1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C16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character" w:styleId="ab">
    <w:name w:val="footnote reference"/>
    <w:semiHidden/>
    <w:rsid w:val="00C16F7C"/>
    <w:rPr>
      <w:vertAlign w:val="superscript"/>
    </w:rPr>
  </w:style>
  <w:style w:type="paragraph" w:styleId="ac">
    <w:name w:val="footnote text"/>
    <w:basedOn w:val="a"/>
    <w:link w:val="ad"/>
    <w:semiHidden/>
    <w:rsid w:val="00C1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C16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chart" Target="charts/chart1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 w="25543">
              <a:noFill/>
            </a:ln>
          </c:spPr>
          <c:dLbls>
            <c:spPr>
              <a:noFill/>
              <a:ln w="2554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504D"/>
            </a:solidFill>
            <a:ln w="25543">
              <a:noFill/>
            </a:ln>
          </c:spPr>
          <c:dLbls>
            <c:dLbl>
              <c:idx val="0"/>
              <c:layout>
                <c:manualLayout>
                  <c:x val="3.7617554858934192E-2"/>
                  <c:y val="-7.1684587813620158E-3"/>
                </c:manualLayout>
              </c:layout>
              <c:showVal val="1"/>
            </c:dLbl>
            <c:dLbl>
              <c:idx val="1"/>
              <c:layout>
                <c:manualLayout>
                  <c:x val="3.3437826541274862E-2"/>
                  <c:y val="-6.5710113073651963E-17"/>
                </c:manualLayout>
              </c:layout>
              <c:showVal val="1"/>
            </c:dLbl>
            <c:dLbl>
              <c:idx val="2"/>
              <c:layout>
                <c:manualLayout>
                  <c:x val="3.3437826541274862E-2"/>
                  <c:y val="-1.6427528268413025E-17"/>
                </c:manualLayout>
              </c:layout>
              <c:showVal val="1"/>
            </c:dLbl>
            <c:spPr>
              <a:noFill/>
              <a:ln w="2554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shape val="box"/>
        <c:axId val="144972416"/>
        <c:axId val="144982400"/>
        <c:axId val="0"/>
      </c:bar3DChart>
      <c:catAx>
        <c:axId val="144972416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57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82400"/>
        <c:crosses val="autoZero"/>
        <c:auto val="1"/>
        <c:lblAlgn val="ctr"/>
        <c:lblOffset val="100"/>
      </c:catAx>
      <c:valAx>
        <c:axId val="144982400"/>
        <c:scaling>
          <c:orientation val="minMax"/>
        </c:scaling>
        <c:axPos val="l"/>
        <c:majorGridlines>
          <c:spPr>
            <a:ln w="957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7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72416"/>
        <c:crosses val="autoZero"/>
        <c:crossBetween val="between"/>
      </c:valAx>
      <c:spPr>
        <a:noFill/>
        <a:ln w="25543">
          <a:noFill/>
        </a:ln>
      </c:spPr>
    </c:plotArea>
    <c:legend>
      <c:legendPos val="b"/>
      <c:spPr>
        <a:noFill/>
        <a:ln w="2554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7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2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</c:dLbl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 w="25402">
          <a:noFill/>
        </a:ln>
      </c:spPr>
    </c:plotArea>
    <c:legend>
      <c:legendPos val="b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2.472169276002438E-2"/>
          <c:y val="1.3844697984180549E-3"/>
        </c:manualLayout>
      </c:layout>
      <c:spPr>
        <a:noFill/>
        <a:ln w="2549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5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9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9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9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9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9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71E-3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9.745694375615653E-2"/>
                  <c:y val="-4.6030015478834445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0.18953303250886774"/>
                  <c:y val="-9.9985178323297993E-2"/>
                </c:manualLayout>
              </c:layout>
              <c:dLblPos val="bestFit"/>
              <c:showVal val="1"/>
              <c:showCatName val="1"/>
            </c:dLbl>
            <c:spPr>
              <a:noFill/>
              <a:ln w="254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5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 w="25492">
          <a:noFill/>
        </a:ln>
      </c:spPr>
    </c:plotArea>
    <c:plotVisOnly val="1"/>
    <c:dispBlanksAs val="zero"/>
  </c:chart>
  <c:spPr>
    <a:solidFill>
      <a:schemeClr val="bg1"/>
    </a:solidFill>
    <a:ln w="955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27302709621"/>
          <c:y val="1.926394714679357E-3"/>
        </c:manualLayout>
      </c:layout>
      <c:spPr>
        <a:noFill/>
        <a:ln w="25412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5636256674812191E-2"/>
          <c:y val="0.29312209085646812"/>
          <c:w val="0.82683371475117362"/>
          <c:h val="0.656855757993755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72E-2"/>
                  <c:y val="-2.1702785641220832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0.14144228866705558"/>
                  <c:y val="-7.1693775504339335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9.4368401873506966E-2"/>
                  <c:y val="-9.1525566603444769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4.3862793012942526E-2"/>
                  <c:y val="-7.9147734931925187E-2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9.571356214605406E-3"/>
                  <c:y val="-6.7513458627890812E-3"/>
                </c:manualLayout>
              </c:layout>
              <c:dLblPos val="bestFit"/>
              <c:showVal val="1"/>
              <c:showCatName val="1"/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8.6654968070778354E-2"/>
                  <c:y val="-7.5525796501714662E-2"/>
                </c:manualLayout>
              </c:layout>
              <c:dLblPos val="bestFit"/>
              <c:showVal val="1"/>
              <c:showCatName val="1"/>
            </c:dLbl>
            <c:dLbl>
              <c:idx val="8"/>
              <c:layout>
                <c:manualLayout>
                  <c:x val="4.8129052268582759E-2"/>
                  <c:y val="-3.7161905856658455E-2"/>
                </c:manualLayout>
              </c:layout>
              <c:dLblPos val="bestFit"/>
              <c:showVal val="1"/>
              <c:showCatName val="1"/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dLblPos val="bestFit"/>
              <c:showVal val="1"/>
              <c:showCatName val="1"/>
            </c:dLbl>
            <c:dLbl>
              <c:idx val="10"/>
              <c:layout>
                <c:manualLayout>
                  <c:x val="2.5762019390537242E-2"/>
                  <c:y val="-1.3805007950648504E-2"/>
                </c:manualLayout>
              </c:layout>
              <c:dLblPos val="bestFit"/>
              <c:showVal val="1"/>
              <c:showCatName val="1"/>
            </c:dLbl>
            <c:dLbl>
              <c:idx val="11"/>
              <c:layout>
                <c:manualLayout>
                  <c:x val="0.14193213235558141"/>
                  <c:y val="-3.0570722455313622E-2"/>
                </c:manualLayout>
              </c:layout>
              <c:dLblPos val="bestFit"/>
              <c:showVal val="1"/>
              <c:showCatName val="1"/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dLblPos val="bestFit"/>
              <c:showVal val="1"/>
              <c:showCatName val="1"/>
            </c:dLbl>
            <c:dLbl>
              <c:idx val="13"/>
              <c:layout>
                <c:manualLayout>
                  <c:x val="0.14581207328709428"/>
                  <c:y val="-3.4674406575090556E-2"/>
                </c:manualLayout>
              </c:layout>
              <c:dLblPos val="bestFit"/>
              <c:showVal val="1"/>
              <c:showCatName val="1"/>
            </c:dLbl>
            <c:dLbl>
              <c:idx val="14"/>
              <c:layout>
                <c:manualLayout>
                  <c:x val="-2.07136958370162E-3"/>
                  <c:y val="-6.7965591892253964E-3"/>
                </c:manualLayout>
              </c:layout>
              <c:dLblPos val="bestFit"/>
              <c:showVal val="1"/>
              <c:showCatName val="1"/>
            </c:dLbl>
            <c:dLbl>
              <c:idx val="15"/>
              <c:layout>
                <c:manualLayout>
                  <c:x val="6.6872567653181322E-2"/>
                  <c:y val="-4.9959162959615734E-3"/>
                </c:manualLayout>
              </c:layout>
              <c:dLblPos val="bestFit"/>
              <c:showVal val="1"/>
              <c:showCatName val="1"/>
            </c:dLbl>
            <c:dLbl>
              <c:idx val="16"/>
              <c:layout>
                <c:manualLayout>
                  <c:x val="8.444532383389023E-3"/>
                  <c:y val="-4.5169262601298915E-2"/>
                </c:manualLayout>
              </c:layout>
              <c:dLblPos val="bestFit"/>
              <c:showVal val="1"/>
              <c:showCatName val="1"/>
            </c:dLbl>
            <c:dLbl>
              <c:idx val="17"/>
              <c:layout>
                <c:manualLayout>
                  <c:x val="8.4960479078046491E-2"/>
                  <c:y val="2.6653979430818892E-2"/>
                </c:manualLayout>
              </c:layout>
              <c:dLblPos val="bestFit"/>
              <c:showVal val="1"/>
              <c:showCatName val="1"/>
            </c:dLbl>
            <c:dLbl>
              <c:idx val="18"/>
              <c:layout>
                <c:manualLayout>
                  <c:x val="5.4567985036353323E-2"/>
                  <c:y val="-3.9290783516108901E-2"/>
                </c:manualLayout>
              </c:layout>
              <c:dLblPos val="bestFit"/>
              <c:showVal val="1"/>
              <c:showCatName val="1"/>
            </c:dLbl>
            <c:dLbl>
              <c:idx val="19"/>
              <c:layout>
                <c:manualLayout>
                  <c:x val="8.0532627387094061E-2"/>
                  <c:y val="-7.3110196572867808E-4"/>
                </c:manualLayout>
              </c:layout>
              <c:dLblPos val="bestFit"/>
              <c:showVal val="1"/>
              <c:showCatName val="1"/>
            </c:dLbl>
            <c:dLbl>
              <c:idx val="20"/>
              <c:layout>
                <c:manualLayout>
                  <c:x val="4.9050894500256431E-2"/>
                  <c:y val="-3.906399917532972E-3"/>
                </c:manualLayout>
              </c:layout>
              <c:dLblPos val="bestFit"/>
              <c:showVal val="1"/>
              <c:showCatName val="1"/>
            </c:dLbl>
            <c:dLbl>
              <c:idx val="21"/>
              <c:layout>
                <c:manualLayout>
                  <c:x val="-3.2913989199625949E-3"/>
                  <c:y val="5.1683675492225106E-2"/>
                </c:manualLayout>
              </c:layout>
              <c:dLblPos val="bestFit"/>
              <c:showVal val="1"/>
              <c:showCatName val="1"/>
            </c:dLbl>
            <c:dLbl>
              <c:idx val="22"/>
              <c:layout>
                <c:manualLayout>
                  <c:x val="-5.5618801991460583E-2"/>
                  <c:y val="-1.3738720616127393E-2"/>
                </c:manualLayout>
              </c:layout>
              <c:dLblPos val="bestFit"/>
              <c:showVal val="1"/>
              <c:showCatName val="1"/>
            </c:dLbl>
            <c:dLbl>
              <c:idx val="23"/>
              <c:layout>
                <c:manualLayout>
                  <c:x val="-0.14176984342474441"/>
                  <c:y val="8.1992847570790867E-2"/>
                </c:manualLayout>
              </c:layout>
              <c:dLblPos val="bestFit"/>
              <c:showVal val="1"/>
              <c:showCatName val="1"/>
            </c:dLbl>
            <c:dLbl>
              <c:idx val="24"/>
              <c:layout>
                <c:manualLayout>
                  <c:x val="-0.13550577729507937"/>
                  <c:y val="-2.4446717574200603E-2"/>
                </c:manualLayout>
              </c:layout>
              <c:dLblPos val="bestFit"/>
              <c:showVal val="1"/>
              <c:showCatName val="1"/>
            </c:dLbl>
            <c:dLbl>
              <c:idx val="25"/>
              <c:layout>
                <c:manualLayout>
                  <c:x val="-0.17624513530636299"/>
                  <c:y val="-0.12034921616671028"/>
                </c:manualLayout>
              </c:layout>
              <c:dLblPos val="bestFit"/>
              <c:showVal val="1"/>
              <c:showCatName val="1"/>
            </c:dLbl>
            <c:dLbl>
              <c:idx val="26"/>
              <c:layout>
                <c:manualLayout>
                  <c:x val="-0.10053654931064659"/>
                  <c:y val="-0.14784975140947282"/>
                </c:manualLayout>
              </c:layout>
              <c:dLblPos val="bestFit"/>
              <c:showVal val="1"/>
              <c:showCatName val="1"/>
            </c:dLbl>
            <c:dLbl>
              <c:idx val="27"/>
              <c:layout>
                <c:manualLayout>
                  <c:x val="2.8735632183908007E-2"/>
                  <c:y val="-4.8679338043469571E-2"/>
                </c:manualLayout>
              </c:layout>
              <c:spPr>
                <a:noFill/>
                <a:ln w="2541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dLblPos val="bestFit"/>
              <c:showVal val="1"/>
              <c:showCatName val="1"/>
            </c:dLbl>
            <c:dLbl>
              <c:idx val="29"/>
              <c:layout>
                <c:manualLayout>
                  <c:x val="6.8582526322140833E-2"/>
                  <c:y val="-0.12977868702968018"/>
                </c:manualLayout>
              </c:layout>
              <c:dLblPos val="bestFit"/>
              <c:showVal val="1"/>
              <c:showCatName val="1"/>
            </c:dLbl>
            <c:spPr>
              <a:noFill/>
              <a:ln w="2541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3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plotVisOnly val="1"/>
    <c:dispBlanksAs val="zero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 w="25399">
          <a:noFill/>
        </a:ln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49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821E-3"/>
                  <c:y val="5.1590783624371724E-3"/>
                </c:manualLayout>
              </c:layout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49">
              <a:solidFill>
                <a:schemeClr val="lt1"/>
              </a:solidFill>
            </a:ln>
            <a:effectLst/>
          </c:spP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gapWidth val="100"/>
        <c:axId val="144987264"/>
        <c:axId val="144988800"/>
      </c:barChart>
      <c:catAx>
        <c:axId val="144987264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88800"/>
        <c:crosses val="autoZero"/>
        <c:auto val="1"/>
        <c:lblAlgn val="ctr"/>
        <c:lblOffset val="100"/>
      </c:catAx>
      <c:valAx>
        <c:axId val="1449888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8726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4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7E-2"/>
                  <c:y val="-7.5667163226218401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46E-2"/>
                  <c:y val="3.6847556217634955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5.1499324107532728E-3"/>
                  <c:y val="-8.8889361802747646E-2"/>
                </c:manualLayout>
              </c:layout>
              <c:dLblPos val="bestFit"/>
              <c:showVal val="1"/>
            </c:dLbl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398">
          <a:noFill/>
        </a:ln>
      </c:spPr>
    </c:plotArea>
    <c:legend>
      <c:legendPos val="b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 w="25419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64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64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7E-2"/>
                  <c:y val="-7.5667163226218401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46E-2"/>
                  <c:y val="3.6847556217634955E-2"/>
                </c:manualLayout>
              </c:layout>
              <c:dLblPos val="bestFit"/>
              <c:showVal val="1"/>
            </c:dLbl>
            <c:spPr>
              <a:noFill/>
              <a:ln w="2541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19">
          <a:noFill/>
        </a:ln>
      </c:spPr>
    </c:plotArea>
    <c:legend>
      <c:legendPos val="b"/>
      <c:spPr>
        <a:noFill/>
        <a:ln w="2541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 w="25404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4">
              <a:noFill/>
            </a:ln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4">
              <a:noFill/>
            </a:ln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4">
              <a:noFill/>
            </a:ln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44916480"/>
        <c:axId val="144918016"/>
      </c:barChart>
      <c:catAx>
        <c:axId val="144916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18016"/>
        <c:crosses val="autoZero"/>
        <c:auto val="1"/>
        <c:lblAlgn val="ctr"/>
        <c:lblOffset val="100"/>
      </c:catAx>
      <c:valAx>
        <c:axId val="144918016"/>
        <c:scaling>
          <c:orientation val="minMax"/>
        </c:scaling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16480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 w="25409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9">
              <a:noFill/>
            </a:ln>
          </c:spPr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9">
              <a:noFill/>
            </a:ln>
          </c:spPr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9">
              <a:noFill/>
            </a:ln>
          </c:spPr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45129472"/>
        <c:axId val="145131008"/>
      </c:barChart>
      <c:catAx>
        <c:axId val="14512947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31008"/>
        <c:crosses val="autoZero"/>
        <c:auto val="1"/>
        <c:lblAlgn val="ctr"/>
        <c:lblOffset val="100"/>
        <c:tickLblSkip val="1"/>
      </c:catAx>
      <c:valAx>
        <c:axId val="145131008"/>
        <c:scaling>
          <c:orientation val="minMax"/>
        </c:scaling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29472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 w="25401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401">
              <a:noFill/>
            </a:ln>
          </c:spPr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1">
              <a:noFill/>
            </a:ln>
          </c:spPr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49606400"/>
        <c:axId val="149607936"/>
      </c:barChart>
      <c:catAx>
        <c:axId val="1496064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07936"/>
        <c:crosses val="autoZero"/>
        <c:auto val="1"/>
        <c:lblAlgn val="ctr"/>
        <c:lblOffset val="100"/>
      </c:catAx>
      <c:valAx>
        <c:axId val="1496079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06400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5481749662"/>
          <c:y val="4.5430185101207905E-3"/>
        </c:manualLayout>
      </c:layout>
      <c:spPr>
        <a:noFill/>
        <a:ln w="25418">
          <a:noFill/>
        </a:ln>
      </c:sp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2.4423417661027697E-2"/>
                  <c:y val="1.6818169847953087E-3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2"/>
              <c:layout>
                <c:manualLayout>
                  <c:x val="-3.8027947501984558E-2"/>
                  <c:y val="0.23548211413645737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-3.1308031006935265E-2"/>
                  <c:y val="-0.10679513744992421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5"/>
              <c:layout>
                <c:manualLayout>
                  <c:x val="-6.6376506858211476E-2"/>
                  <c:y val="-0.22585090363248528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6"/>
              <c:layout>
                <c:manualLayout>
                  <c:x val="1.1804733558631975E-2"/>
                  <c:y val="-0.1965722056102063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8"/>
              <c:layout>
                <c:manualLayout>
                  <c:x val="0.1205350148224936"/>
                  <c:y val="-4.4303248959188808E-2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dLblPos val="bestFit"/>
              <c:showVal val="1"/>
              <c:showCatName val="1"/>
            </c:dLbl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 w="25418">
          <a:noFill/>
        </a:ln>
      </c:spPr>
    </c:plotArea>
    <c:plotVisOnly val="1"/>
    <c:dispBlanksAs val="zero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 w="25379">
          <a:noFill/>
        </a:ln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 w="25379">
              <a:noFill/>
            </a:ln>
          </c:spPr>
          <c:dLbls>
            <c:spPr>
              <a:noFill/>
              <a:ln w="2537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79">
              <a:noFill/>
            </a:ln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dLblPos val="outEnd"/>
              <c:showVal val="1"/>
            </c:dLbl>
            <c:spPr>
              <a:noFill/>
              <a:ln w="2537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143326208"/>
        <c:axId val="145146624"/>
      </c:barChart>
      <c:catAx>
        <c:axId val="1433262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1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46624"/>
        <c:crosses val="autoZero"/>
        <c:auto val="1"/>
        <c:lblAlgn val="ctr"/>
        <c:lblOffset val="100"/>
      </c:catAx>
      <c:valAx>
        <c:axId val="145146624"/>
        <c:scaling>
          <c:orientation val="minMax"/>
        </c:scaling>
        <c:axPos val="b"/>
        <c:majorGridlines>
          <c:spPr>
            <a:ln w="951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1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26208"/>
        <c:crosses val="autoZero"/>
        <c:crossBetween val="between"/>
      </c:valAx>
      <c:spPr>
        <a:noFill/>
        <a:ln w="25379">
          <a:noFill/>
        </a:ln>
      </c:spPr>
    </c:plotArea>
    <c:legend>
      <c:legendPos val="b"/>
      <c:spPr>
        <a:noFill/>
        <a:ln w="25379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HP</cp:lastModifiedBy>
  <cp:revision>193</cp:revision>
  <cp:lastPrinted>2021-04-01T11:23:00Z</cp:lastPrinted>
  <dcterms:created xsi:type="dcterms:W3CDTF">2017-11-08T08:37:00Z</dcterms:created>
  <dcterms:modified xsi:type="dcterms:W3CDTF">2022-11-10T11:59:00Z</dcterms:modified>
</cp:coreProperties>
</file>