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сентября 2015 г. N 613н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ДОПОЛНИТЕЛЬНОГО ОБРАЗОВАНИЯ ДЕТЕЙ И ВЗРОСЛЫХ"</w:t>
      </w: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center"/>
        <w:rPr>
          <w:b/>
          <w:bCs/>
          <w:sz w:val="16"/>
          <w:szCs w:val="16"/>
        </w:rPr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21743" w:rsidRDefault="00721743" w:rsidP="00721743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721743" w:rsidRDefault="00721743" w:rsidP="00721743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right"/>
      </w:pPr>
      <w:r>
        <w:t>Министр</w:t>
      </w:r>
    </w:p>
    <w:p w:rsidR="00721743" w:rsidRDefault="00721743" w:rsidP="00721743">
      <w:pPr>
        <w:pStyle w:val="ConsPlusNormal"/>
        <w:jc w:val="right"/>
      </w:pPr>
      <w:r>
        <w:t>М.А.ТОПИЛИН</w:t>
      </w: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both"/>
      </w:pPr>
    </w:p>
    <w:p w:rsidR="00721743" w:rsidRDefault="00721743" w:rsidP="00721743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721743" w:rsidRDefault="00721743" w:rsidP="00721743">
      <w:pPr>
        <w:pStyle w:val="ConsPlusNormal"/>
        <w:jc w:val="right"/>
      </w:pPr>
      <w:r>
        <w:t>приказом Министерства труда</w:t>
      </w:r>
    </w:p>
    <w:p w:rsidR="00721743" w:rsidRDefault="00721743" w:rsidP="00721743">
      <w:pPr>
        <w:pStyle w:val="ConsPlusNormal"/>
        <w:jc w:val="right"/>
      </w:pPr>
      <w:r>
        <w:t>и социальной защиты</w:t>
      </w:r>
    </w:p>
    <w:p w:rsidR="00721743" w:rsidRDefault="00721743" w:rsidP="00721743">
      <w:pPr>
        <w:pStyle w:val="ConsPlusNormal"/>
        <w:jc w:val="right"/>
      </w:pPr>
      <w:r>
        <w:t>Российской Федерации</w:t>
      </w:r>
    </w:p>
    <w:p w:rsidR="00721743" w:rsidRDefault="00721743" w:rsidP="00721743">
      <w:pPr>
        <w:pStyle w:val="ConsPlusNormal"/>
        <w:jc w:val="right"/>
      </w:pPr>
      <w:r>
        <w:t>от 8 сентября 2015 г. N 613н</w:t>
      </w: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4F294D">
      <w:pPr>
        <w:pStyle w:val="a4"/>
        <w:spacing w:before="0" w:after="0"/>
        <w:ind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4F294D" w:rsidRPr="004F294D" w:rsidRDefault="004F294D" w:rsidP="004F294D"/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721743" w:rsidRDefault="00721743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2" w:name="_Toc422292624"/>
      <w:r w:rsidRPr="002C0105">
        <w:t xml:space="preserve">I. </w:t>
      </w:r>
      <w:r w:rsidR="00EB35C0" w:rsidRPr="002C0105">
        <w:t>Общие сведения</w:t>
      </w:r>
      <w:bookmarkEnd w:id="2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3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3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4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4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5" w:name="_Toc422292627"/>
            <w:r w:rsidRPr="002C0105">
              <w:t>3.1. Обобщенная трудовая функция</w:t>
            </w:r>
            <w:bookmarkEnd w:id="5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Pr="002C0105">
              <w:rPr>
                <w:rFonts w:ascii="Times New Roman" w:hAnsi="Times New Roman"/>
              </w:rPr>
              <w:t>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Тренер-преподаватель (включая </w:t>
            </w:r>
            <w:proofErr w:type="gramStart"/>
            <w:r w:rsidRPr="002C0105">
              <w:rPr>
                <w:rFonts w:ascii="Times New Roman" w:hAnsi="Times New Roman"/>
              </w:rPr>
              <w:t>старшего</w:t>
            </w:r>
            <w:proofErr w:type="gramEnd"/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proofErr w:type="gramStart"/>
            <w:r w:rsidR="00F46D67" w:rsidRPr="002C0105">
              <w:rPr>
                <w:rFonts w:ascii="Times New Roman" w:hAnsi="Times New Roman"/>
              </w:rPr>
              <w:t>и(</w:t>
            </w:r>
            <w:proofErr w:type="gramEnd"/>
            <w:r w:rsidR="00F46D67" w:rsidRPr="002C0105">
              <w:rPr>
                <w:rFonts w:ascii="Times New Roman" w:hAnsi="Times New Roman"/>
              </w:rPr>
              <w:t xml:space="preserve">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 xml:space="preserve">в ходе обучения, применять приемы страховки и </w:t>
            </w:r>
            <w:proofErr w:type="spellStart"/>
            <w:r w:rsidR="00D551B1" w:rsidRPr="002C0105">
              <w:rPr>
                <w:rFonts w:ascii="Times New Roman" w:hAnsi="Times New Roman"/>
              </w:rPr>
              <w:t>самостраховки</w:t>
            </w:r>
            <w:proofErr w:type="spellEnd"/>
            <w:r w:rsidR="00D551B1" w:rsidRPr="002C0105">
              <w:rPr>
                <w:rFonts w:ascii="Times New Roman" w:hAnsi="Times New Roman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при решении задач обучения </w:t>
            </w:r>
            <w:proofErr w:type="gramStart"/>
            <w:r w:rsidRPr="002C0105">
              <w:rPr>
                <w:rFonts w:ascii="Times New Roman" w:hAnsi="Times New Roman"/>
              </w:rPr>
              <w:t>и</w:t>
            </w:r>
            <w:r w:rsidR="006D6DA5" w:rsidRPr="002C0105">
              <w:rPr>
                <w:rFonts w:ascii="Times New Roman" w:hAnsi="Times New Roman"/>
              </w:rPr>
              <w:t>(</w:t>
            </w:r>
            <w:proofErr w:type="gramEnd"/>
            <w:r w:rsidR="006D6DA5" w:rsidRPr="002C0105">
              <w:rPr>
                <w:rFonts w:ascii="Times New Roman" w:hAnsi="Times New Roman"/>
              </w:rPr>
              <w:t>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 xml:space="preserve">обучения, воспитания </w:t>
            </w:r>
            <w:proofErr w:type="gramStart"/>
            <w:r w:rsidR="006D6DA5" w:rsidRPr="002C0105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="006D6DA5" w:rsidRPr="002C0105">
              <w:rPr>
                <w:rFonts w:ascii="Times New Roman" w:hAnsi="Times New Roman"/>
                <w:szCs w:val="20"/>
              </w:rPr>
              <w:t>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2C0105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2C0105">
              <w:rPr>
                <w:rFonts w:ascii="Times New Roman" w:hAnsi="Times New Roman"/>
              </w:rPr>
              <w:t xml:space="preserve">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2C0105">
              <w:rPr>
                <w:rFonts w:ascii="Times New Roman" w:hAnsi="Times New Roman"/>
              </w:rPr>
              <w:t xml:space="preserve">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proofErr w:type="gramEnd"/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6" w:name="_Toc422292628"/>
            <w:r w:rsidRPr="002C0105">
              <w:t>3.2. Обобщенная трудовая функция</w:t>
            </w:r>
            <w:bookmarkEnd w:id="6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proofErr w:type="gramStart"/>
            <w:r w:rsidRPr="002C0105">
              <w:rPr>
                <w:rFonts w:ascii="Times New Roman" w:hAnsi="Times New Roman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</w:rPr>
              <w:t xml:space="preserve">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proofErr w:type="gramStart"/>
            <w:r w:rsidR="00821388" w:rsidRPr="002C0105">
              <w:rPr>
                <w:rFonts w:ascii="Times New Roman" w:hAnsi="Times New Roman"/>
              </w:rPr>
              <w:t>и(</w:t>
            </w:r>
            <w:proofErr w:type="gramEnd"/>
            <w:r w:rsidR="00821388" w:rsidRPr="002C0105">
              <w:rPr>
                <w:rFonts w:ascii="Times New Roman" w:hAnsi="Times New Roman"/>
              </w:rPr>
              <w:t>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современным теоретическим и </w:t>
            </w:r>
            <w:proofErr w:type="gramStart"/>
            <w:r w:rsidRPr="002C0105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2C0105">
              <w:rPr>
                <w:rFonts w:ascii="Times New Roman" w:hAnsi="Times New Roman"/>
              </w:rPr>
              <w:t xml:space="preserve">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на основе </w:t>
            </w:r>
            <w:proofErr w:type="gramStart"/>
            <w:r w:rsidR="00941B35" w:rsidRPr="002C0105">
              <w:rPr>
                <w:rFonts w:ascii="Times New Roman" w:eastAsia="Times New Roman" w:hAnsi="Times New Roman"/>
              </w:rPr>
              <w:t>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proofErr w:type="gramEnd"/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2C0105">
              <w:rPr>
                <w:rFonts w:ascii="Times New Roman" w:eastAsia="Times New Roman" w:hAnsi="Times New Roman"/>
              </w:rPr>
              <w:t>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  <w:proofErr w:type="gramEnd"/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7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7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proofErr w:type="gramStart"/>
            <w:r w:rsidRPr="002C0105">
              <w:rPr>
                <w:rFonts w:ascii="Times New Roman" w:hAnsi="Times New Roman"/>
              </w:rPr>
              <w:t>выполнять роль</w:t>
            </w:r>
            <w:proofErr w:type="gramEnd"/>
            <w:r w:rsidRPr="002C0105">
              <w:rPr>
                <w:rFonts w:ascii="Times New Roman" w:hAnsi="Times New Roman"/>
              </w:rPr>
              <w:t xml:space="preserve">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 xml:space="preserve">особенности организации и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проведения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 xml:space="preserve">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="00614229" w:rsidRPr="002C0105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появления новых творческих объединений, отвечающих интересам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="00917846"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 xml:space="preserve">реализации программ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8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8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2C0105">
              <w:rPr>
                <w:rFonts w:ascii="Times New Roman" w:eastAsia="Times New Roman" w:hAnsi="Times New Roman"/>
                <w:bCs/>
              </w:rPr>
              <w:t>Асмолов</w:t>
            </w:r>
            <w:proofErr w:type="spellEnd"/>
            <w:r w:rsidRPr="002C0105">
              <w:rPr>
                <w:rFonts w:ascii="Times New Roman" w:eastAsia="Times New Roman" w:hAnsi="Times New Roman"/>
                <w:bCs/>
              </w:rPr>
              <w:t xml:space="preserve">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A8" w:rsidRDefault="00B20EA8" w:rsidP="0085401D">
      <w:r>
        <w:separator/>
      </w:r>
    </w:p>
  </w:endnote>
  <w:endnote w:type="continuationSeparator" w:id="0">
    <w:p w:rsidR="00B20EA8" w:rsidRDefault="00B20EA8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</w:t>
      </w:r>
      <w:proofErr w:type="gramStart"/>
      <w:r w:rsidRPr="00773CFC">
        <w:rPr>
          <w:rFonts w:ascii="Times New Roman" w:hAnsi="Times New Roman"/>
        </w:rPr>
        <w:t>естественно-научной</w:t>
      </w:r>
      <w:proofErr w:type="gramEnd"/>
      <w:r w:rsidRPr="00773CFC">
        <w:rPr>
          <w:rFonts w:ascii="Times New Roman" w:hAnsi="Times New Roman"/>
        </w:rPr>
        <w:t>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</w:t>
      </w:r>
      <w:proofErr w:type="gramStart"/>
      <w:r w:rsidRPr="00773CFC">
        <w:rPr>
          <w:rFonts w:ascii="Times New Roman" w:hAnsi="Times New Roman"/>
        </w:rPr>
        <w:t xml:space="preserve"> А</w:t>
      </w:r>
      <w:proofErr w:type="gramEnd"/>
      <w:r w:rsidRPr="00773CFC">
        <w:rPr>
          <w:rFonts w:ascii="Times New Roman" w:hAnsi="Times New Roman"/>
        </w:rPr>
        <w:t>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Приказ </w:t>
      </w:r>
      <w:proofErr w:type="spellStart"/>
      <w:r w:rsidRPr="00773CFC">
        <w:rPr>
          <w:rFonts w:ascii="Times New Roman" w:hAnsi="Times New Roman"/>
        </w:rPr>
        <w:t>Минздравсоцразвития</w:t>
      </w:r>
      <w:proofErr w:type="spellEnd"/>
      <w:r w:rsidRPr="00773CFC">
        <w:rPr>
          <w:rFonts w:ascii="Times New Roman" w:hAnsi="Times New Roman"/>
        </w:rPr>
        <w:t xml:space="preserve"> России от 12 апреля 2011 г. № 302н «Об утверждении переч</w:t>
      </w:r>
      <w:r>
        <w:rPr>
          <w:rFonts w:ascii="Times New Roman" w:hAnsi="Times New Roman"/>
        </w:rPr>
        <w:t xml:space="preserve">ней вредных </w:t>
      </w:r>
      <w:proofErr w:type="gramStart"/>
      <w:r>
        <w:rPr>
          <w:rFonts w:ascii="Times New Roman" w:hAnsi="Times New Roman"/>
        </w:rPr>
        <w:t>и</w:t>
      </w:r>
      <w:r w:rsidRPr="00773CFC">
        <w:rPr>
          <w:rFonts w:ascii="Times New Roman" w:hAnsi="Times New Roman"/>
        </w:rPr>
        <w:t>(</w:t>
      </w:r>
      <w:proofErr w:type="gramEnd"/>
      <w:r w:rsidRPr="00773CFC">
        <w:rPr>
          <w:rFonts w:ascii="Times New Roman" w:hAnsi="Times New Roman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proofErr w:type="gramStart"/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proofErr w:type="gramEnd"/>
      <w:r w:rsidRPr="00DB71E2">
        <w:rPr>
          <w:rFonts w:ascii="Times New Roman" w:hAnsi="Times New Roman"/>
        </w:rPr>
        <w:t xml:space="preserve"> </w:t>
      </w:r>
      <w:proofErr w:type="gramStart"/>
      <w:r w:rsidRPr="00DB71E2">
        <w:rPr>
          <w:rFonts w:ascii="Times New Roman" w:hAnsi="Times New Roman"/>
        </w:rPr>
        <w:t xml:space="preserve">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  <w:proofErr w:type="gramEnd"/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A8" w:rsidRDefault="00B20EA8" w:rsidP="0085401D">
      <w:r>
        <w:separator/>
      </w:r>
    </w:p>
  </w:footnote>
  <w:footnote w:type="continuationSeparator" w:id="0">
    <w:p w:rsidR="00B20EA8" w:rsidRDefault="00B20EA8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081EEF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444F4D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081EEF"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081EEF">
          <w:rPr>
            <w:rFonts w:ascii="Times New Roman" w:hAnsi="Times New Roman"/>
            <w:noProof/>
          </w:rPr>
          <w:t>27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1EEF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294D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743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0EA8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144D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7F9-8C30-42EA-9033-69157F60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9802</Words>
  <Characters>55874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65545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Ирина Александровна</cp:lastModifiedBy>
  <cp:revision>2</cp:revision>
  <cp:lastPrinted>2015-07-28T12:50:00Z</cp:lastPrinted>
  <dcterms:created xsi:type="dcterms:W3CDTF">2020-03-17T12:00:00Z</dcterms:created>
  <dcterms:modified xsi:type="dcterms:W3CDTF">2020-03-17T12:00:00Z</dcterms:modified>
</cp:coreProperties>
</file>